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2354" w14:textId="77777777" w:rsidR="00C6330B" w:rsidRDefault="00000000" w:rsidP="00ED3DEC">
      <w:pPr>
        <w:spacing w:line="560" w:lineRule="exact"/>
        <w:rPr>
          <w:rFonts w:ascii="黑体" w:eastAsia="黑体" w:hAnsi="黑体"/>
          <w:bCs/>
          <w:szCs w:val="32"/>
        </w:rPr>
      </w:pPr>
      <w:r>
        <w:rPr>
          <w:rFonts w:ascii="黑体" w:eastAsia="黑体" w:hAnsi="黑体" w:hint="eastAsia"/>
          <w:bCs/>
          <w:szCs w:val="32"/>
        </w:rPr>
        <w:t>附件2</w:t>
      </w:r>
    </w:p>
    <w:p w14:paraId="78DE29AD" w14:textId="77777777" w:rsidR="00C6330B" w:rsidRDefault="00000000">
      <w:pPr>
        <w:spacing w:line="560" w:lineRule="exact"/>
        <w:jc w:val="center"/>
        <w:rPr>
          <w:rFonts w:ascii="方正小标宋简体" w:eastAsia="方正小标宋简体" w:hAnsi="方正小标宋简体"/>
          <w:b/>
          <w:bCs/>
          <w:szCs w:val="32"/>
        </w:rPr>
      </w:pPr>
      <w:r>
        <w:rPr>
          <w:rFonts w:ascii="方正小标宋简体" w:eastAsia="方正小标宋简体" w:hAnsi="方正小标宋简体" w:hint="eastAsia"/>
          <w:b/>
          <w:bCs/>
          <w:szCs w:val="32"/>
        </w:rPr>
        <w:t>专家简介</w:t>
      </w:r>
    </w:p>
    <w:p w14:paraId="7DF1BBB8" w14:textId="77777777" w:rsidR="00C6330B" w:rsidRDefault="00000000">
      <w:pPr>
        <w:spacing w:line="560" w:lineRule="exact"/>
        <w:ind w:firstLine="642"/>
        <w:jc w:val="left"/>
        <w:rPr>
          <w:rFonts w:ascii="仿宋_GB2312" w:hAnsi="仿宋_GB2312"/>
          <w:szCs w:val="32"/>
        </w:rPr>
      </w:pPr>
      <w:r>
        <w:rPr>
          <w:rFonts w:ascii="仿宋_GB2312" w:hAnsi="仿宋_GB2312" w:hint="eastAsia"/>
          <w:b/>
          <w:bCs/>
          <w:szCs w:val="32"/>
        </w:rPr>
        <w:t>刘濯源</w:t>
      </w:r>
    </w:p>
    <w:p w14:paraId="3DBB7502" w14:textId="77777777" w:rsidR="00C6330B" w:rsidRDefault="00000000">
      <w:pPr>
        <w:spacing w:line="560" w:lineRule="exact"/>
        <w:ind w:firstLine="642"/>
        <w:jc w:val="left"/>
        <w:rPr>
          <w:rFonts w:ascii="仿宋_GB2312" w:hAnsi="仿宋_GB2312"/>
          <w:szCs w:val="32"/>
        </w:rPr>
      </w:pPr>
      <w:r>
        <w:rPr>
          <w:rFonts w:ascii="仿宋_GB2312" w:hAnsi="仿宋_GB2312" w:hint="eastAsia"/>
          <w:szCs w:val="32"/>
        </w:rPr>
        <w:t>南京濯源心智文化发展研究院院长，思维可视化教学体系创始人，学科思维导</w:t>
      </w:r>
      <w:proofErr w:type="gramStart"/>
      <w:r>
        <w:rPr>
          <w:rFonts w:ascii="仿宋_GB2312" w:hAnsi="仿宋_GB2312" w:hint="eastAsia"/>
          <w:szCs w:val="32"/>
        </w:rPr>
        <w:t>图概念</w:t>
      </w:r>
      <w:proofErr w:type="gramEnd"/>
      <w:r>
        <w:rPr>
          <w:rFonts w:ascii="仿宋_GB2312" w:hAnsi="仿宋_GB2312" w:hint="eastAsia"/>
          <w:szCs w:val="32"/>
        </w:rPr>
        <w:t>提出者及绘制标准制定者，心智教育理论及策略体系创建者，思维可视化教学联盟理事长。中国教育学会中小学整体改革专业委员会“十二五”规划重点课题《中小学生学习力培养的研究》课题专家组组长，曾受聘于华东师范大学现代教育技术研究所兼思维可视化教学实验中心主任，全国教育信息技术“十二五”规划重点课题《思维可视化技术与学科整合的理论和实践研究》课题组总培训指导师。已出版《赢在学习力》《初中思维导图高效学习模板》《高中思维导图高效学习模板·文科版》等著作。</w:t>
      </w:r>
    </w:p>
    <w:p w14:paraId="5B84AE9C" w14:textId="77777777" w:rsidR="00C6330B" w:rsidRDefault="00C6330B">
      <w:pPr>
        <w:pStyle w:val="a9"/>
        <w:shd w:val="clear" w:color="auto" w:fill="FFFFFF"/>
        <w:spacing w:before="0" w:beforeAutospacing="0" w:after="0" w:afterAutospacing="0"/>
        <w:jc w:val="both"/>
        <w:rPr>
          <w:rFonts w:ascii="仿宋_GB2312" w:hAnsi="仿宋_GB2312"/>
          <w:kern w:val="2"/>
          <w:sz w:val="32"/>
          <w:szCs w:val="32"/>
        </w:rPr>
      </w:pPr>
    </w:p>
    <w:p w14:paraId="0C2B6B32" w14:textId="77777777" w:rsidR="00C6330B" w:rsidRDefault="00000000">
      <w:pPr>
        <w:pStyle w:val="a9"/>
        <w:shd w:val="clear" w:color="auto" w:fill="FFFFFF"/>
        <w:spacing w:before="0" w:beforeAutospacing="0" w:after="0" w:afterAutospacing="0"/>
        <w:ind w:firstLineChars="200" w:firstLine="660"/>
        <w:jc w:val="both"/>
        <w:rPr>
          <w:rFonts w:ascii="仿宋_GB2312" w:hAnsi="仿宋_GB2312"/>
          <w:kern w:val="2"/>
          <w:sz w:val="32"/>
          <w:szCs w:val="32"/>
        </w:rPr>
      </w:pPr>
      <w:r>
        <w:rPr>
          <w:rFonts w:ascii="仿宋_GB2312" w:hAnsi="仿宋_GB2312" w:hint="eastAsia"/>
          <w:b/>
          <w:bCs/>
          <w:kern w:val="2"/>
          <w:sz w:val="32"/>
          <w:szCs w:val="32"/>
        </w:rPr>
        <w:t>林书扬</w:t>
      </w:r>
    </w:p>
    <w:p w14:paraId="61363C7E" w14:textId="2848DA38" w:rsidR="00C6330B" w:rsidRDefault="00000000" w:rsidP="00ED3DEC">
      <w:pPr>
        <w:pStyle w:val="a9"/>
        <w:shd w:val="clear" w:color="auto" w:fill="FFFFFF"/>
        <w:spacing w:before="0" w:beforeAutospacing="0" w:after="0" w:afterAutospacing="0"/>
        <w:ind w:firstLineChars="200" w:firstLine="658"/>
        <w:jc w:val="both"/>
        <w:rPr>
          <w:rFonts w:ascii="黑体" w:eastAsia="黑体" w:hAnsi="黑体"/>
          <w:b/>
          <w:bCs/>
          <w:szCs w:val="32"/>
        </w:rPr>
      </w:pPr>
      <w:r>
        <w:rPr>
          <w:rFonts w:ascii="仿宋_GB2312" w:hAnsi="仿宋_GB2312" w:hint="eastAsia"/>
          <w:kern w:val="2"/>
          <w:sz w:val="32"/>
          <w:szCs w:val="32"/>
        </w:rPr>
        <w:t>南京濯源心智文化发展研究院教学及课程研发部主任，“十二五”规划重点课题《思维可视化技术与学科整合的理论和实践研究》课题组核心成员，心智教育核心专家、国家二级心理咨询师。曾发表学术论文《为什么要给思维导图“转基因”》《思维可视化与深度学习的融合探究》，现已为全国两万多名中小学教师提供过专业培训和思维可视化教学实践指导。</w:t>
      </w:r>
    </w:p>
    <w:p w14:paraId="78BB87E9" w14:textId="77777777" w:rsidR="00C6330B" w:rsidRDefault="00C6330B">
      <w:pPr>
        <w:rPr>
          <w:rFonts w:ascii="黑体" w:eastAsia="黑体" w:hAnsi="黑体"/>
          <w:b/>
          <w:bCs/>
          <w:szCs w:val="32"/>
        </w:rPr>
      </w:pPr>
    </w:p>
    <w:sectPr w:rsidR="00C6330B" w:rsidSect="00D11513">
      <w:footerReference w:type="default" r:id="rId7"/>
      <w:pgSz w:w="11906" w:h="16838"/>
      <w:pgMar w:top="2098" w:right="1474" w:bottom="1984" w:left="1587" w:header="851" w:footer="992" w:gutter="0"/>
      <w:cols w:space="720"/>
      <w:titlePg/>
      <w:docGrid w:type="linesAndChars" w:linePitch="473"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890" w14:textId="77777777" w:rsidR="00A92639" w:rsidRDefault="00A92639">
      <w:r>
        <w:separator/>
      </w:r>
    </w:p>
  </w:endnote>
  <w:endnote w:type="continuationSeparator" w:id="0">
    <w:p w14:paraId="651B61E4" w14:textId="77777777" w:rsidR="00A92639" w:rsidRDefault="00A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700635"/>
    </w:sdtPr>
    <w:sdtContent>
      <w:p w14:paraId="65676551" w14:textId="77777777" w:rsidR="00C6330B" w:rsidRDefault="00000000">
        <w:pPr>
          <w:pStyle w:val="a6"/>
          <w:jc w:val="center"/>
        </w:pPr>
        <w:r>
          <w:fldChar w:fldCharType="begin"/>
        </w:r>
        <w:r>
          <w:instrText>PAGE   \* MERGEFORMAT</w:instrText>
        </w:r>
        <w:r>
          <w:fldChar w:fldCharType="separate"/>
        </w:r>
        <w:r>
          <w:rPr>
            <w:lang w:val="zh-CN"/>
          </w:rPr>
          <w:t>2</w:t>
        </w:r>
        <w:r>
          <w:fldChar w:fldCharType="end"/>
        </w:r>
      </w:p>
    </w:sdtContent>
  </w:sdt>
  <w:p w14:paraId="4AA6B528" w14:textId="77777777" w:rsidR="00C6330B" w:rsidRDefault="00C633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31F9" w14:textId="77777777" w:rsidR="00A92639" w:rsidRDefault="00A92639">
      <w:r>
        <w:separator/>
      </w:r>
    </w:p>
  </w:footnote>
  <w:footnote w:type="continuationSeparator" w:id="0">
    <w:p w14:paraId="26AA0806" w14:textId="77777777" w:rsidR="00A92639" w:rsidRDefault="00A92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FEFE9F"/>
    <w:multiLevelType w:val="singleLevel"/>
    <w:tmpl w:val="F3FEFE9F"/>
    <w:lvl w:ilvl="0">
      <w:start w:val="1"/>
      <w:numFmt w:val="chineseCounting"/>
      <w:suff w:val="nothing"/>
      <w:lvlText w:val="%1、"/>
      <w:lvlJc w:val="left"/>
      <w:rPr>
        <w:rFonts w:hint="eastAsia"/>
      </w:rPr>
    </w:lvl>
  </w:abstractNum>
  <w:num w:numId="1" w16cid:durableId="164620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329"/>
  <w:drawingGridVerticalSpacing w:val="473"/>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26"/>
    <w:rsid w:val="0016393A"/>
    <w:rsid w:val="00262BCA"/>
    <w:rsid w:val="00370280"/>
    <w:rsid w:val="003A1E4F"/>
    <w:rsid w:val="006371C5"/>
    <w:rsid w:val="00757926"/>
    <w:rsid w:val="007A3F3D"/>
    <w:rsid w:val="00A92639"/>
    <w:rsid w:val="00BA23EE"/>
    <w:rsid w:val="00C53522"/>
    <w:rsid w:val="00C6330B"/>
    <w:rsid w:val="00D11513"/>
    <w:rsid w:val="00D36DAD"/>
    <w:rsid w:val="00E31227"/>
    <w:rsid w:val="00E37FAC"/>
    <w:rsid w:val="00E51396"/>
    <w:rsid w:val="00E82AAB"/>
    <w:rsid w:val="00ED3DEC"/>
    <w:rsid w:val="026B6EE5"/>
    <w:rsid w:val="037B3CDD"/>
    <w:rsid w:val="0442601B"/>
    <w:rsid w:val="065F7326"/>
    <w:rsid w:val="06673F96"/>
    <w:rsid w:val="06685EC1"/>
    <w:rsid w:val="06D059D0"/>
    <w:rsid w:val="07BC0EAF"/>
    <w:rsid w:val="0B837613"/>
    <w:rsid w:val="0CBD67A5"/>
    <w:rsid w:val="151C63E2"/>
    <w:rsid w:val="19AB176E"/>
    <w:rsid w:val="20286583"/>
    <w:rsid w:val="216E4827"/>
    <w:rsid w:val="21BE3C5A"/>
    <w:rsid w:val="22AC524A"/>
    <w:rsid w:val="23255A39"/>
    <w:rsid w:val="290302E2"/>
    <w:rsid w:val="29EE59B1"/>
    <w:rsid w:val="2A2642BB"/>
    <w:rsid w:val="2A4D7312"/>
    <w:rsid w:val="2D852054"/>
    <w:rsid w:val="2FBA6FDC"/>
    <w:rsid w:val="32A24504"/>
    <w:rsid w:val="32D3228A"/>
    <w:rsid w:val="369D6F2B"/>
    <w:rsid w:val="36D04F57"/>
    <w:rsid w:val="36DB7A54"/>
    <w:rsid w:val="44734A11"/>
    <w:rsid w:val="48243BBA"/>
    <w:rsid w:val="48E55A3C"/>
    <w:rsid w:val="4CE675BB"/>
    <w:rsid w:val="4D2246C1"/>
    <w:rsid w:val="50177F59"/>
    <w:rsid w:val="50A25D54"/>
    <w:rsid w:val="51321311"/>
    <w:rsid w:val="55471F03"/>
    <w:rsid w:val="5A3A2B60"/>
    <w:rsid w:val="5BD129F2"/>
    <w:rsid w:val="5CBB0227"/>
    <w:rsid w:val="5D186A5C"/>
    <w:rsid w:val="620449AF"/>
    <w:rsid w:val="630752E0"/>
    <w:rsid w:val="65B741C1"/>
    <w:rsid w:val="66EB1B59"/>
    <w:rsid w:val="68F71C1C"/>
    <w:rsid w:val="6CDC546A"/>
    <w:rsid w:val="6DAD4F9F"/>
    <w:rsid w:val="6E7D5218"/>
    <w:rsid w:val="6ED86190"/>
    <w:rsid w:val="6F1928EC"/>
    <w:rsid w:val="6F55551F"/>
    <w:rsid w:val="71640447"/>
    <w:rsid w:val="7F6E2BD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361B"/>
  <w15:docId w15:val="{52C37D29-09D9-4F77-AC2E-5E68A2C5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仿宋_GB2312" w:hAnsi="Calibri"/>
      <w:kern w:val="2"/>
      <w:sz w:val="32"/>
      <w:szCs w:val="24"/>
    </w:rPr>
  </w:style>
  <w:style w:type="paragraph" w:styleId="1">
    <w:name w:val="heading 1"/>
    <w:basedOn w:val="a"/>
    <w:uiPriority w:val="9"/>
    <w:qFormat/>
    <w:pPr>
      <w:keepNext/>
      <w:keepLines/>
      <w:spacing w:before="340" w:after="330" w:line="576" w:lineRule="auto"/>
      <w:outlineLvl w:val="0"/>
    </w:pPr>
    <w:rPr>
      <w:b/>
      <w:kern w:val="44"/>
      <w:sz w:val="44"/>
    </w:rPr>
  </w:style>
  <w:style w:type="paragraph" w:styleId="2">
    <w:name w:val="heading 2"/>
    <w:basedOn w:val="a"/>
    <w:uiPriority w:val="9"/>
    <w:semiHidden/>
    <w:unhideWhenUsed/>
    <w:qFormat/>
    <w:pPr>
      <w:keepNext/>
      <w:keepLines/>
      <w:spacing w:before="260" w:after="260" w:line="413" w:lineRule="auto"/>
      <w:outlineLvl w:val="1"/>
    </w:pPr>
    <w:rPr>
      <w:rFonts w:ascii="Arial" w:eastAsia="黑体" w:hAnsi="Arial"/>
      <w:b/>
    </w:rPr>
  </w:style>
  <w:style w:type="paragraph" w:styleId="3">
    <w:name w:val="heading 3"/>
    <w:basedOn w:val="a"/>
    <w:uiPriority w:val="9"/>
    <w:semiHidden/>
    <w:unhideWhenUsed/>
    <w:qFormat/>
    <w:pPr>
      <w:keepNext/>
      <w:keepLines/>
      <w:spacing w:before="260" w:after="260" w:line="413" w:lineRule="auto"/>
      <w:outlineLvl w:val="2"/>
    </w:pPr>
    <w:rPr>
      <w:b/>
    </w:rPr>
  </w:style>
  <w:style w:type="paragraph" w:styleId="4">
    <w:name w:val="heading 4"/>
    <w:basedOn w:val="a"/>
    <w:link w:val="40"/>
    <w:uiPriority w:val="9"/>
    <w:qFormat/>
    <w:pPr>
      <w:jc w:val="lef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TOC2">
    <w:name w:val="toc 2"/>
    <w:basedOn w:val="a"/>
    <w:unhideWhenUsed/>
    <w:qFormat/>
    <w:pPr>
      <w:spacing w:line="480" w:lineRule="auto"/>
      <w:ind w:leftChars="200" w:left="420"/>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sz w:val="24"/>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qFormat/>
    <w:rPr>
      <w:color w:val="0000FF"/>
    </w:rPr>
  </w:style>
  <w:style w:type="character" w:customStyle="1" w:styleId="a5">
    <w:name w:val="批注框文本 字符"/>
    <w:link w:val="a4"/>
    <w:qFormat/>
    <w:rPr>
      <w:rFonts w:ascii="Calibri" w:eastAsia="仿宋_GB2312" w:hAnsi="Calibri"/>
      <w:kern w:val="2"/>
      <w:sz w:val="18"/>
      <w:szCs w:val="18"/>
    </w:rPr>
  </w:style>
  <w:style w:type="paragraph" w:styleId="ad">
    <w:name w:val="List Paragraph"/>
    <w:basedOn w:val="a"/>
    <w:qFormat/>
    <w:pPr>
      <w:ind w:firstLineChars="200" w:firstLine="420"/>
    </w:pPr>
  </w:style>
  <w:style w:type="paragraph" w:customStyle="1" w:styleId="10">
    <w:name w:val="普通(网站)1"/>
    <w:basedOn w:val="a"/>
    <w:qFormat/>
    <w:pPr>
      <w:widowControl/>
      <w:jc w:val="left"/>
    </w:pPr>
    <w:rPr>
      <w:rFonts w:ascii="宋体" w:hAnsi="宋体"/>
      <w:sz w:val="24"/>
    </w:rPr>
  </w:style>
  <w:style w:type="character" w:customStyle="1" w:styleId="a7">
    <w:name w:val="页脚 字符"/>
    <w:basedOn w:val="a0"/>
    <w:link w:val="a6"/>
    <w:uiPriority w:val="99"/>
    <w:qFormat/>
    <w:rPr>
      <w:rFonts w:ascii="Calibri" w:eastAsia="仿宋_GB2312" w:hAnsi="Calibri"/>
      <w:kern w:val="2"/>
      <w:sz w:val="18"/>
      <w:szCs w:val="24"/>
    </w:rPr>
  </w:style>
  <w:style w:type="character" w:customStyle="1" w:styleId="40">
    <w:name w:val="标题 4 字符"/>
    <w:basedOn w:val="a0"/>
    <w:link w:val="4"/>
    <w:uiPriority w:val="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广东 教育学会</dc:creator>
  <cp:keywords/>
  <dc:description/>
  <cp:lastModifiedBy>教育学会 广东</cp:lastModifiedBy>
  <cp:revision>2</cp:revision>
  <dcterms:created xsi:type="dcterms:W3CDTF">2023-09-01T05:32:00Z</dcterms:created>
  <dcterms:modified xsi:type="dcterms:W3CDTF">2023-09-01T05:32:00Z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F35FF97444E449C6B9F6CCFC2C99020F_12</vt:lpwstr>
  </property>
</Properties>
</file>